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200" w:line="259" w:lineRule="auto"/>
        <w:ind w:left="0" w:right="0"/>
        <w:jc w:val="center"/>
      </w:pPr>
      <w:r>
        <w:rPr>
          <w:rFonts w:ascii="Noto Sans CJK JP" w:hAnsi="Noto Sans CJK JP" w:eastAsia="Noto Sans CJK JP"/>
          <w:b/>
          <w:sz w:val="32"/>
        </w:rPr>
        <w:t>業務受託約款（国際業務） / Terms of Engagement (Immigration &amp; International Services)</w:t>
      </w:r>
    </w:p>
    <w:p>
      <w:pPr>
        <w:spacing w:after="280" w:line="259" w:lineRule="auto" w:before="0"/>
        <w:ind w:left="0" w:right="0"/>
        <w:jc w:val="center"/>
      </w:pPr>
      <w:r>
        <w:rPr>
          <w:rFonts w:ascii="Noto Sans CJK JP" w:hAnsi="Noto Sans CJK JP" w:eastAsia="Noto Sans CJK JP"/>
          <w:b/>
          <w:sz w:val="21"/>
        </w:rPr>
        <w:t>トラスト清水行政書士事務所 / Trust Shimizu Administrative Scrivener Office</w:t>
      </w:r>
    </w:p>
    <w:p>
      <w:pPr>
        <w:pStyle w:val="Heading1"/>
        <w:spacing w:before="200" w:after="40" w:line="259" w:lineRule="auto"/>
        <w:ind w:left="0" w:right="0"/>
        <w:jc w:val="left"/>
      </w:pPr>
      <w:r>
        <w:rPr>
          <w:rFonts w:ascii="Noto Sans CJK JP" w:hAnsi="Noto Sans CJK JP" w:eastAsia="Noto Sans CJK JP"/>
          <w:b/>
          <w:sz w:val="25"/>
        </w:rPr>
        <w:t>第1条（目的）</w:t>
      </w:r>
    </w:p>
    <w:p>
      <w:pPr>
        <w:spacing w:after="100" w:before="0" w:line="259" w:lineRule="auto"/>
        <w:ind w:left="0" w:right="0"/>
      </w:pPr>
      <w:r>
        <w:rPr>
          <w:rFonts w:ascii="Aptos" w:hAnsi="Aptos" w:eastAsia="Aptos"/>
          <w:b/>
          <w:sz w:val="21"/>
        </w:rPr>
        <w:t>Article 1 (Purpose)</w:t>
      </w:r>
    </w:p>
    <w:p>
      <w:pPr>
        <w:spacing w:after="100" w:line="259" w:lineRule="auto" w:before="0"/>
        <w:ind w:left="0" w:right="0"/>
      </w:pPr>
      <w:r>
        <w:rPr>
          <w:rFonts w:ascii="Noto Sans CJK JP" w:hAnsi="Noto Sans CJK JP" w:eastAsia="Noto Sans CJK JP"/>
          <w:b w:val="0"/>
          <w:sz w:val="20"/>
        </w:rPr>
        <w:t>本約款は、申込者（以下「甲」という。）が、トラスト清水行政書士事務所（以下「乙」という。）に対し、出入国在留管理局等への申請手続に関する業務（以下「本業務」という。）を委託し、乙がこれを受託する際の一切の取引に適用されます。</w:t>
      </w:r>
    </w:p>
    <w:p>
      <w:pPr>
        <w:spacing w:after="100" w:line="259" w:lineRule="auto" w:before="0"/>
        <w:ind w:left="0" w:right="0"/>
      </w:pPr>
      <w:r>
        <w:rPr>
          <w:rFonts w:ascii="Aptos" w:hAnsi="Aptos" w:eastAsia="Aptos"/>
          <w:b w:val="0"/>
          <w:sz w:val="19"/>
        </w:rPr>
        <w:t>These Terms apply to all engagements in which the applicant/client (the “Client”) retains Trust Shimizu Administrative Scrivener Office (the “Office”) to provide services relating to applications and procedures before the Immigration Services Agency of Japan and other relevant authorities (the “Services”).</w:t>
      </w:r>
    </w:p>
    <w:p>
      <w:pPr>
        <w:pStyle w:val="Heading1"/>
        <w:spacing w:before="200" w:after="40" w:line="259" w:lineRule="auto"/>
        <w:ind w:left="0" w:right="0"/>
        <w:jc w:val="left"/>
      </w:pPr>
      <w:r>
        <w:rPr>
          <w:rFonts w:ascii="Noto Sans CJK JP" w:hAnsi="Noto Sans CJK JP" w:eastAsia="Noto Sans CJK JP"/>
          <w:b/>
          <w:sz w:val="25"/>
        </w:rPr>
        <w:t>第2条（業務の内容および範囲）</w:t>
      </w:r>
    </w:p>
    <w:p>
      <w:pPr>
        <w:spacing w:after="100" w:before="0" w:line="259" w:lineRule="auto"/>
        <w:ind w:left="0" w:right="0"/>
      </w:pPr>
      <w:r>
        <w:rPr>
          <w:rFonts w:ascii="Aptos" w:hAnsi="Aptos" w:eastAsia="Aptos"/>
          <w:b/>
          <w:sz w:val="21"/>
        </w:rPr>
        <w:t>Article 2 (Scope of Services)</w:t>
      </w:r>
    </w:p>
    <w:p>
      <w:pPr>
        <w:spacing w:after="100" w:line="259" w:lineRule="auto" w:before="0"/>
        <w:ind w:left="0" w:right="0"/>
      </w:pPr>
      <w:r>
        <w:rPr>
          <w:rFonts w:ascii="Noto Sans CJK JP" w:hAnsi="Noto Sans CJK JP" w:eastAsia="Noto Sans CJK JP"/>
          <w:b w:val="0"/>
          <w:sz w:val="20"/>
        </w:rPr>
        <w:t>1. 乙が提供する業務の範囲は、申込書に記載された範囲、およびこれに直接付随する書類作成・申請取次その他の業務に限られます。</w:t>
      </w:r>
    </w:p>
    <w:p>
      <w:pPr>
        <w:spacing w:after="100" w:line="259" w:lineRule="auto" w:before="0"/>
        <w:ind w:left="0" w:right="0"/>
      </w:pPr>
      <w:r>
        <w:rPr>
          <w:rFonts w:ascii="Noto Sans CJK JP" w:hAnsi="Noto Sans CJK JP" w:eastAsia="Noto Sans CJK JP"/>
          <w:b w:val="0"/>
          <w:sz w:val="20"/>
        </w:rPr>
        <w:t>2. 申請後の追加資料提出通知、質問書その他行政庁からの照会への対応は、原則として本業務に含まれます。ただし、甲の事情変更その他により大幅な書類の再作成または追加業務が必要となった場合は、別途追加報酬が発生することがあります。</w:t>
      </w:r>
    </w:p>
    <w:p>
      <w:pPr>
        <w:spacing w:after="100" w:line="259" w:lineRule="auto" w:before="0"/>
        <w:ind w:left="0" w:right="0"/>
      </w:pPr>
      <w:r>
        <w:rPr>
          <w:rFonts w:ascii="Noto Sans CJK JP" w:hAnsi="Noto Sans CJK JP" w:eastAsia="Noto Sans CJK JP"/>
          <w:b w:val="0"/>
          <w:sz w:val="20"/>
        </w:rPr>
        <w:t>3. 許可取得後の更新手続、その他の在留資格への変更手続その他申込書に記載されていない業務は、本業務には含まれません。ただし、別途書面による合意がある場合はこの限りではありません。</w:t>
      </w:r>
    </w:p>
    <w:p>
      <w:pPr>
        <w:spacing w:after="100" w:line="259" w:lineRule="auto" w:before="0"/>
        <w:ind w:left="0" w:right="0"/>
      </w:pPr>
      <w:r>
        <w:rPr>
          <w:rFonts w:ascii="Aptos" w:hAnsi="Aptos" w:eastAsia="Aptos"/>
          <w:b w:val="0"/>
          <w:sz w:val="19"/>
        </w:rPr>
        <w:t>1. The Services are limited to the scope stated in the application/order form and document preparation, filing support, application intermediation, and other work directly incidental to that scope.</w:t>
      </w:r>
    </w:p>
    <w:p>
      <w:pPr>
        <w:spacing w:after="100" w:line="259" w:lineRule="auto" w:before="0"/>
        <w:ind w:left="0" w:right="0"/>
      </w:pPr>
      <w:r>
        <w:rPr>
          <w:rFonts w:ascii="Aptos" w:hAnsi="Aptos" w:eastAsia="Aptos"/>
          <w:b w:val="0"/>
          <w:sz w:val="19"/>
        </w:rPr>
        <w:t>2. Responses to requests for additional documents, questionnaires, or other inquiries from the authorities after filing are generally included. However, additional fees may apply if substantial redrafting or additional work becomes necessary due to changes in the Client’s circumstances or other reasons.</w:t>
      </w:r>
    </w:p>
    <w:p>
      <w:pPr>
        <w:spacing w:after="100" w:line="259" w:lineRule="auto" w:before="0"/>
        <w:ind w:left="0" w:right="0"/>
      </w:pPr>
      <w:r>
        <w:rPr>
          <w:rFonts w:ascii="Aptos" w:hAnsi="Aptos" w:eastAsia="Aptos"/>
          <w:b w:val="0"/>
          <w:sz w:val="19"/>
        </w:rPr>
        <w:t>3. Procedures after approval, including renewals or changes to another status of residence, and any work not stated in the application/order form are not included unless separately agreed in writing.</w:t>
      </w:r>
    </w:p>
    <w:p>
      <w:pPr>
        <w:pStyle w:val="Heading1"/>
        <w:spacing w:before="200" w:after="40" w:line="259" w:lineRule="auto"/>
        <w:ind w:left="0" w:right="0"/>
        <w:jc w:val="left"/>
      </w:pPr>
      <w:r>
        <w:rPr>
          <w:rFonts w:ascii="Noto Sans CJK JP" w:hAnsi="Noto Sans CJK JP" w:eastAsia="Noto Sans CJK JP"/>
          <w:b/>
          <w:sz w:val="25"/>
        </w:rPr>
        <w:t>第3条（報酬および費用の支払い）</w:t>
      </w:r>
    </w:p>
    <w:p>
      <w:pPr>
        <w:spacing w:after="100" w:before="0" w:line="259" w:lineRule="auto"/>
        <w:ind w:left="0" w:right="0"/>
      </w:pPr>
      <w:r>
        <w:rPr>
          <w:rFonts w:ascii="Aptos" w:hAnsi="Aptos" w:eastAsia="Aptos"/>
          <w:b/>
          <w:sz w:val="21"/>
        </w:rPr>
        <w:t>Article 3 (Fees and Expenses)</w:t>
      </w:r>
    </w:p>
    <w:p>
      <w:pPr>
        <w:spacing w:after="100" w:line="259" w:lineRule="auto" w:before="0"/>
        <w:ind w:left="0" w:right="0"/>
      </w:pPr>
      <w:r>
        <w:rPr>
          <w:rFonts w:ascii="Noto Sans CJK JP" w:hAnsi="Noto Sans CJK JP" w:eastAsia="Noto Sans CJK JP"/>
          <w:b w:val="0"/>
          <w:sz w:val="20"/>
        </w:rPr>
        <w:t>1. 甲は乙に対し、申込書に記載された着手金、成功報酬および実費（入管手数料、翻訳費用、郵送費、証明書取得費その他）を、指定された期日までに支払うものとします。</w:t>
      </w:r>
    </w:p>
    <w:p>
      <w:pPr>
        <w:spacing w:after="100" w:line="259" w:lineRule="auto" w:before="0"/>
        <w:ind w:left="0" w:right="0"/>
      </w:pPr>
      <w:r>
        <w:rPr>
          <w:rFonts w:ascii="Noto Sans CJK JP" w:hAnsi="Noto Sans CJK JP" w:eastAsia="Noto Sans CJK JP"/>
          <w:b w:val="0"/>
          <w:sz w:val="20"/>
        </w:rPr>
        <w:t>2. 乙は、甲からの着手金の入金を確認した後、本業務に着手します。</w:t>
      </w:r>
    </w:p>
    <w:p>
      <w:pPr>
        <w:spacing w:after="100" w:line="259" w:lineRule="auto" w:before="0"/>
        <w:ind w:left="0" w:right="0"/>
      </w:pPr>
      <w:r>
        <w:rPr>
          <w:rFonts w:ascii="Noto Sans CJK JP" w:hAnsi="Noto Sans CJK JP" w:eastAsia="Noto Sans CJK JP"/>
          <w:b w:val="0"/>
          <w:sz w:val="20"/>
        </w:rPr>
        <w:t>3. 甲の都合により業務の途中で解約された場合、または甲の責めに帰すべき事由により申請が不可能となった場合、受領済みの着手金は返金しません。ただし、別途書面による特約がある場合は、その特約に従います。</w:t>
      </w:r>
    </w:p>
    <w:p>
      <w:pPr>
        <w:spacing w:after="100" w:line="259" w:lineRule="auto" w:before="0"/>
        <w:ind w:left="0" w:right="0"/>
      </w:pPr>
      <w:r>
        <w:rPr>
          <w:rFonts w:ascii="Aptos" w:hAnsi="Aptos" w:eastAsia="Aptos"/>
          <w:b w:val="0"/>
          <w:sz w:val="19"/>
        </w:rPr>
        <w:t>1. The Client shall pay the retainer, success fee, and actual expenses (including government fees, translation costs, postage, and certificate issuance fees) stated in the application/order form by the specified due dates.</w:t>
      </w:r>
    </w:p>
    <w:p>
      <w:pPr>
        <w:spacing w:after="100" w:line="259" w:lineRule="auto" w:before="0"/>
        <w:ind w:left="0" w:right="0"/>
      </w:pPr>
      <w:r>
        <w:rPr>
          <w:rFonts w:ascii="Aptos" w:hAnsi="Aptos" w:eastAsia="Aptos"/>
          <w:b w:val="0"/>
          <w:sz w:val="19"/>
        </w:rPr>
        <w:t>2. The Office will commence the Services after confirming receipt of the retainer.</w:t>
      </w:r>
    </w:p>
    <w:p>
      <w:pPr>
        <w:spacing w:after="100" w:line="259" w:lineRule="auto" w:before="0"/>
        <w:ind w:left="0" w:right="0"/>
      </w:pPr>
      <w:r>
        <w:rPr>
          <w:rFonts w:ascii="Aptos" w:hAnsi="Aptos" w:eastAsia="Aptos"/>
          <w:b w:val="0"/>
          <w:sz w:val="19"/>
        </w:rPr>
        <w:t>3. If the engagement is cancelled for reasons attributable to the Client, or the application becomes impossible due to circumstances attributable to the Client, the retainer already paid will not be refunded unless otherwise agreed in writing.</w:t>
      </w:r>
    </w:p>
    <w:p>
      <w:pPr>
        <w:pStyle w:val="Heading1"/>
        <w:spacing w:before="200" w:after="40" w:line="259" w:lineRule="auto"/>
        <w:ind w:left="0" w:right="0"/>
        <w:jc w:val="left"/>
      </w:pPr>
      <w:r>
        <w:rPr>
          <w:rFonts w:ascii="Noto Sans CJK JP" w:hAnsi="Noto Sans CJK JP" w:eastAsia="Noto Sans CJK JP"/>
          <w:b/>
          <w:sz w:val="25"/>
        </w:rPr>
        <w:t>第4条（不許可時の取扱い）</w:t>
      </w:r>
    </w:p>
    <w:p>
      <w:pPr>
        <w:spacing w:after="100" w:before="0" w:line="259" w:lineRule="auto"/>
        <w:ind w:left="0" w:right="0"/>
      </w:pPr>
      <w:r>
        <w:rPr>
          <w:rFonts w:ascii="Aptos" w:hAnsi="Aptos" w:eastAsia="Aptos"/>
          <w:b/>
          <w:sz w:val="21"/>
        </w:rPr>
        <w:t>Article 4 (If an Application Is Denied)</w:t>
      </w:r>
    </w:p>
    <w:p>
      <w:pPr>
        <w:spacing w:after="100" w:line="259" w:lineRule="auto" w:before="0"/>
        <w:ind w:left="0" w:right="0"/>
      </w:pPr>
      <w:r>
        <w:rPr>
          <w:rFonts w:ascii="Noto Sans CJK JP" w:hAnsi="Noto Sans CJK JP" w:eastAsia="Noto Sans CJK JP"/>
          <w:b w:val="0"/>
          <w:sz w:val="20"/>
        </w:rPr>
        <w:t>1. 本業務は、出入国在留管理局その他の行政庁に対する申請手続等を行うものであり、許可、認定その他の行政処分の結果を保証するものではありません。</w:t>
      </w:r>
    </w:p>
    <w:p>
      <w:pPr>
        <w:spacing w:after="100" w:line="259" w:lineRule="auto" w:before="0"/>
        <w:ind w:left="0" w:right="0"/>
      </w:pPr>
      <w:r>
        <w:rPr>
          <w:rFonts w:ascii="Noto Sans CJK JP" w:hAnsi="Noto Sans CJK JP" w:eastAsia="Noto Sans CJK JP"/>
          <w:b w:val="0"/>
          <w:sz w:val="20"/>
        </w:rPr>
        <w:t>2. 乙が適切に本業務を遂行したにもかかわらず不許可または不交付となった場合であっても、甲は乙に対し、着手金の返金または損害賠償を請求することはできません。ただし、別途書面による返金特約がある場合は、その特約に従います。</w:t>
      </w:r>
    </w:p>
    <w:p>
      <w:pPr>
        <w:spacing w:after="100" w:line="259" w:lineRule="auto" w:before="0"/>
        <w:ind w:left="0" w:right="0"/>
      </w:pPr>
      <w:r>
        <w:rPr>
          <w:rFonts w:ascii="Aptos" w:hAnsi="Aptos" w:eastAsia="Aptos"/>
          <w:b w:val="0"/>
          <w:sz w:val="19"/>
        </w:rPr>
        <w:t>1. The Services concern the preparation and handling of applications and procedures before the Immigration Services Agency of Japan and other authorities. The Office does not guarantee approval, issuance, certification, or any other administrative outcome.</w:t>
      </w:r>
    </w:p>
    <w:p>
      <w:pPr>
        <w:spacing w:after="100" w:line="259" w:lineRule="auto" w:before="0"/>
        <w:ind w:left="0" w:right="0"/>
      </w:pPr>
      <w:r>
        <w:rPr>
          <w:rFonts w:ascii="Aptos" w:hAnsi="Aptos" w:eastAsia="Aptos"/>
          <w:b w:val="0"/>
          <w:sz w:val="19"/>
        </w:rPr>
        <w:t>2. If the Office has properly performed the Services but the application is denied or a certificate is not issued, the Client may not demand a refund of the retainer or damages, except where a separate written refund arrangement applies.</w:t>
      </w:r>
    </w:p>
    <w:p>
      <w:pPr>
        <w:pStyle w:val="Heading1"/>
        <w:spacing w:before="200" w:after="40" w:line="259" w:lineRule="auto"/>
        <w:ind w:left="0" w:right="0"/>
        <w:jc w:val="left"/>
      </w:pPr>
      <w:r>
        <w:rPr>
          <w:rFonts w:ascii="Noto Sans CJK JP" w:hAnsi="Noto Sans CJK JP" w:eastAsia="Noto Sans CJK JP"/>
          <w:b/>
          <w:sz w:val="25"/>
        </w:rPr>
        <w:t>第5条（甲の告知義務および免責）</w:t>
      </w:r>
    </w:p>
    <w:p>
      <w:pPr>
        <w:spacing w:after="100" w:before="0" w:line="259" w:lineRule="auto"/>
        <w:ind w:left="0" w:right="0"/>
      </w:pPr>
      <w:r>
        <w:rPr>
          <w:rFonts w:ascii="Aptos" w:hAnsi="Aptos" w:eastAsia="Aptos"/>
          <w:b/>
          <w:sz w:val="21"/>
        </w:rPr>
        <w:t>Article 5 (Client Disclosure Obligations and Disclaimer)</w:t>
      </w:r>
    </w:p>
    <w:p>
      <w:pPr>
        <w:spacing w:after="100" w:line="259" w:lineRule="auto" w:before="0"/>
        <w:ind w:left="0" w:right="0"/>
      </w:pPr>
      <w:r>
        <w:rPr>
          <w:rFonts w:ascii="Noto Sans CJK JP" w:hAnsi="Noto Sans CJK JP" w:eastAsia="Noto Sans CJK JP"/>
          <w:b w:val="0"/>
          <w:sz w:val="20"/>
        </w:rPr>
        <w:t>1. 甲は乙に対し、本件申請に必要な事実（過去の在留状況、出入国歴、不許可歴、法令違反歴その他審査に影響を及ぼす事情を含みます。）を正確かつ誠実に告知し、乙が求める必要書類を速やかに提出するものとします。</w:t>
      </w:r>
    </w:p>
    <w:p>
      <w:pPr>
        <w:spacing w:after="100" w:line="259" w:lineRule="auto" w:before="0"/>
        <w:ind w:left="0" w:right="0"/>
      </w:pPr>
      <w:r>
        <w:rPr>
          <w:rFonts w:ascii="Noto Sans CJK JP" w:hAnsi="Noto Sans CJK JP" w:eastAsia="Noto Sans CJK JP"/>
          <w:b w:val="0"/>
          <w:sz w:val="20"/>
        </w:rPr>
        <w:t>2. 甲が虚偽の申告、重要な事実の隠匿、不真正な書類の提出その他前項の義務に違反したことにより申請が不許可となった場合その他本業務の継続が困難となった場合、乙はその責任を負わず、本契約を解除することができます。</w:t>
      </w:r>
    </w:p>
    <w:p>
      <w:pPr>
        <w:spacing w:after="100" w:line="259" w:lineRule="auto" w:before="0"/>
        <w:ind w:left="0" w:right="0"/>
      </w:pPr>
      <w:r>
        <w:rPr>
          <w:rFonts w:ascii="Aptos" w:hAnsi="Aptos" w:eastAsia="Aptos"/>
          <w:b w:val="0"/>
          <w:sz w:val="19"/>
        </w:rPr>
        <w:t>1. The Client shall accurately and honestly disclose all facts necessary for the application, including prior immigration status, travel history, previous denials, legal violations, and any other circumstances that may affect the examination, and shall promptly submit documents requested by the Office.</w:t>
      </w:r>
    </w:p>
    <w:p>
      <w:pPr>
        <w:spacing w:after="100" w:line="259" w:lineRule="auto" w:before="0"/>
        <w:ind w:left="0" w:right="0"/>
      </w:pPr>
      <w:r>
        <w:rPr>
          <w:rFonts w:ascii="Aptos" w:hAnsi="Aptos" w:eastAsia="Aptos"/>
          <w:b w:val="0"/>
          <w:sz w:val="19"/>
        </w:rPr>
        <w:t>2. If the Client makes a false statement, conceals a material fact, submits an inauthentic document, or otherwise breaches the preceding obligation, and this results in denial or makes continuation of the Services impracticable, the Office shall not be responsible for the resulting outcome and may terminate the engagement.</w:t>
      </w:r>
    </w:p>
    <w:p>
      <w:pPr>
        <w:pStyle w:val="Heading1"/>
        <w:spacing w:before="200" w:after="40" w:line="259" w:lineRule="auto"/>
        <w:ind w:left="0" w:right="0"/>
        <w:jc w:val="left"/>
      </w:pPr>
      <w:r>
        <w:rPr>
          <w:rFonts w:ascii="Noto Sans CJK JP" w:hAnsi="Noto Sans CJK JP" w:eastAsia="Noto Sans CJK JP"/>
          <w:b/>
          <w:sz w:val="25"/>
        </w:rPr>
        <w:t>第6条（秘密保持および個人情報の取扱い）</w:t>
      </w:r>
    </w:p>
    <w:p>
      <w:pPr>
        <w:spacing w:after="100" w:before="0" w:line="259" w:lineRule="auto"/>
        <w:ind w:left="0" w:right="0"/>
      </w:pPr>
      <w:r>
        <w:rPr>
          <w:rFonts w:ascii="Aptos" w:hAnsi="Aptos" w:eastAsia="Aptos"/>
          <w:b/>
          <w:sz w:val="21"/>
        </w:rPr>
        <w:t>Article 6 (Confidentiality and Handling of Personal Information)</w:t>
      </w:r>
    </w:p>
    <w:p>
      <w:pPr>
        <w:spacing w:after="100" w:line="259" w:lineRule="auto" w:before="0"/>
        <w:ind w:left="0" w:right="0"/>
      </w:pPr>
      <w:r>
        <w:rPr>
          <w:rFonts w:ascii="Noto Sans CJK JP" w:hAnsi="Noto Sans CJK JP" w:eastAsia="Noto Sans CJK JP"/>
          <w:b w:val="0"/>
          <w:sz w:val="20"/>
        </w:rPr>
        <w:t>1. 乙は、本業務の遂行に関して甲から取得または開示された個人情報および機密情報を、本業務の遂行その他あらかじめ明示した利用目的の範囲内で取り扱います。</w:t>
      </w:r>
    </w:p>
    <w:p>
      <w:pPr>
        <w:spacing w:after="100" w:line="259" w:lineRule="auto" w:before="0"/>
        <w:ind w:left="0" w:right="0"/>
      </w:pPr>
      <w:r>
        <w:rPr>
          <w:rFonts w:ascii="Noto Sans CJK JP" w:hAnsi="Noto Sans CJK JP" w:eastAsia="Noto Sans CJK JP"/>
          <w:b w:val="0"/>
          <w:sz w:val="20"/>
        </w:rPr>
        <w:t>2. 乙は、法令に基づく場合その他正当な理由がある場合を除き、甲の個人情報および機密情報を第三者に不当に開示または漏えいしません。</w:t>
      </w:r>
    </w:p>
    <w:p>
      <w:pPr>
        <w:spacing w:after="100" w:line="259" w:lineRule="auto" w:before="0"/>
        <w:ind w:left="0" w:right="0"/>
      </w:pPr>
      <w:r>
        <w:rPr>
          <w:rFonts w:ascii="Noto Sans CJK JP" w:hAnsi="Noto Sans CJK JP" w:eastAsia="Noto Sans CJK JP"/>
          <w:b w:val="0"/>
          <w:sz w:val="20"/>
        </w:rPr>
        <w:t>3. 乙は、個人情報について適切な安全管理措置を講じます。</w:t>
      </w:r>
    </w:p>
    <w:p>
      <w:pPr>
        <w:spacing w:after="100" w:line="259" w:lineRule="auto" w:before="0"/>
        <w:ind w:left="0" w:right="0"/>
      </w:pPr>
      <w:r>
        <w:rPr>
          <w:rFonts w:ascii="Noto Sans CJK JP" w:hAnsi="Noto Sans CJK JP" w:eastAsia="Noto Sans CJK JP"/>
          <w:b w:val="0"/>
          <w:sz w:val="20"/>
        </w:rPr>
        <w:t>4. 本条に定める秘密保持義務は、本契約終了後も存続します。</w:t>
      </w:r>
    </w:p>
    <w:p>
      <w:pPr>
        <w:spacing w:after="100" w:line="259" w:lineRule="auto" w:before="0"/>
        <w:ind w:left="0" w:right="0"/>
      </w:pPr>
      <w:r>
        <w:rPr>
          <w:rFonts w:ascii="Aptos" w:hAnsi="Aptos" w:eastAsia="Aptos"/>
          <w:b w:val="0"/>
          <w:sz w:val="19"/>
        </w:rPr>
        <w:t>1. The Office will handle personal and confidential information obtained from or disclosed by the Client only within the scope necessary to perform the Services and for other purposes disclosed in advance.</w:t>
      </w:r>
    </w:p>
    <w:p>
      <w:pPr>
        <w:spacing w:after="100" w:line="259" w:lineRule="auto" w:before="0"/>
        <w:ind w:left="0" w:right="0"/>
      </w:pPr>
      <w:r>
        <w:rPr>
          <w:rFonts w:ascii="Aptos" w:hAnsi="Aptos" w:eastAsia="Aptos"/>
          <w:b w:val="0"/>
          <w:sz w:val="19"/>
        </w:rPr>
        <w:t>2. Except where permitted or required by law or where another legitimate reason exists, the Office will not improperly disclose or leak the Client’s personal or confidential information to third parties.</w:t>
      </w:r>
    </w:p>
    <w:p>
      <w:pPr>
        <w:spacing w:after="100" w:line="259" w:lineRule="auto" w:before="0"/>
        <w:ind w:left="0" w:right="0"/>
      </w:pPr>
      <w:r>
        <w:rPr>
          <w:rFonts w:ascii="Aptos" w:hAnsi="Aptos" w:eastAsia="Aptos"/>
          <w:b w:val="0"/>
          <w:sz w:val="19"/>
        </w:rPr>
        <w:t>3. The Office will implement appropriate safeguards for personal information.</w:t>
      </w:r>
    </w:p>
    <w:p>
      <w:pPr>
        <w:spacing w:after="100" w:line="259" w:lineRule="auto" w:before="0"/>
        <w:ind w:left="0" w:right="0"/>
      </w:pPr>
      <w:r>
        <w:rPr>
          <w:rFonts w:ascii="Aptos" w:hAnsi="Aptos" w:eastAsia="Aptos"/>
          <w:b w:val="0"/>
          <w:sz w:val="19"/>
        </w:rPr>
        <w:t>4. The confidentiality obligations in this Article survive termination of the engagement.</w:t>
      </w:r>
    </w:p>
    <w:p>
      <w:pPr>
        <w:pStyle w:val="Heading1"/>
        <w:spacing w:before="200" w:after="40" w:line="259" w:lineRule="auto"/>
        <w:ind w:left="0" w:right="0"/>
        <w:jc w:val="left"/>
      </w:pPr>
      <w:r>
        <w:rPr>
          <w:rFonts w:ascii="Noto Sans CJK JP" w:hAnsi="Noto Sans CJK JP" w:eastAsia="Noto Sans CJK JP"/>
          <w:b/>
          <w:sz w:val="25"/>
        </w:rPr>
        <w:t>第7条（他の行政書士等への相談および情報共有）</w:t>
      </w:r>
    </w:p>
    <w:p>
      <w:pPr>
        <w:spacing w:after="100" w:before="0" w:line="259" w:lineRule="auto"/>
        <w:ind w:left="0" w:right="0"/>
      </w:pPr>
      <w:r>
        <w:rPr>
          <w:rFonts w:ascii="Aptos" w:hAnsi="Aptos" w:eastAsia="Aptos"/>
          <w:b/>
          <w:sz w:val="21"/>
        </w:rPr>
        <w:t>Article 7 (Consultation with Other Professionals and Information Sharing)</w:t>
      </w:r>
    </w:p>
    <w:p>
      <w:pPr>
        <w:spacing w:after="100" w:line="259" w:lineRule="auto" w:before="0"/>
        <w:ind w:left="0" w:right="0"/>
      </w:pPr>
      <w:r>
        <w:rPr>
          <w:rFonts w:ascii="Noto Sans CJK JP" w:hAnsi="Noto Sans CJK JP" w:eastAsia="Noto Sans CJK JP"/>
          <w:b w:val="0"/>
          <w:sz w:val="20"/>
        </w:rPr>
        <w:t>1. 乙は、本業務を適切かつ慎重に遂行するため必要があると判断した場合、守秘義務を負う他の行政書士、弁護士、税理士その他の専門家に対し、本件について相談し、助言、意見または提出書類等のレビューを求めることがあります。</w:t>
      </w:r>
    </w:p>
    <w:p>
      <w:pPr>
        <w:spacing w:after="100" w:line="259" w:lineRule="auto" w:before="0"/>
        <w:ind w:left="0" w:right="0"/>
      </w:pPr>
      <w:r>
        <w:rPr>
          <w:rFonts w:ascii="Noto Sans CJK JP" w:hAnsi="Noto Sans CJK JP" w:eastAsia="Noto Sans CJK JP"/>
          <w:b w:val="0"/>
          <w:sz w:val="20"/>
        </w:rPr>
        <w:t>2. 前項の場合、乙は、相談、助言またはレビューに必要な範囲に限り、甲から取得した氏名、国籍、生年月日、在留資格、在留カード情報、旅券情報、学歴、職歴、勤務先、家族関係、収入、納税・社会保険に関する情報、申請書類その他本業務に必要な情報または資料を当該専門家に提供することがあります。</w:t>
      </w:r>
    </w:p>
    <w:p>
      <w:pPr>
        <w:spacing w:after="100" w:line="259" w:lineRule="auto" w:before="0"/>
        <w:ind w:left="0" w:right="0"/>
      </w:pPr>
      <w:r>
        <w:rPr>
          <w:rFonts w:ascii="Noto Sans CJK JP" w:hAnsi="Noto Sans CJK JP" w:eastAsia="Noto Sans CJK JP"/>
          <w:b w:val="0"/>
          <w:sz w:val="20"/>
        </w:rPr>
        <w:t>3. 乙は、前項の情報提供を必要最小限の範囲に限定するとともに、当該専門家に対し、本件業務以外の目的に使用しないこと、秘密を保持することおよび適切な安全管理を行うことを求めます。</w:t>
      </w:r>
    </w:p>
    <w:p>
      <w:pPr>
        <w:spacing w:after="100" w:line="259" w:lineRule="auto" w:before="0"/>
        <w:ind w:left="0" w:right="0"/>
      </w:pPr>
      <w:r>
        <w:rPr>
          <w:rFonts w:ascii="Noto Sans CJK JP" w:hAnsi="Noto Sans CJK JP" w:eastAsia="Noto Sans CJK JP"/>
          <w:b w:val="0"/>
          <w:sz w:val="20"/>
        </w:rPr>
        <w:t>4. 前項までの相談、助言またはレビューを行う専門家は、甲と直接の委任契約関係を有するものではなく、別途甲との間で委任契約等を締結した場合を除き、本業務の受任者は乙とします。</w:t>
      </w:r>
    </w:p>
    <w:p>
      <w:pPr>
        <w:spacing w:after="100" w:line="259" w:lineRule="auto" w:before="0"/>
        <w:ind w:left="0" w:right="0"/>
      </w:pPr>
      <w:r>
        <w:rPr>
          <w:rFonts w:ascii="Noto Sans CJK JP" w:hAnsi="Noto Sans CJK JP" w:eastAsia="Noto Sans CJK JP"/>
          <w:b w:val="0"/>
          <w:sz w:val="20"/>
        </w:rPr>
        <w:t>5. 甲は、本約款および申込書等への同意をもって、本条に定める範囲で必要な情報が当該専門家に提供されることについて同意するものとします。</w:t>
      </w:r>
    </w:p>
    <w:p>
      <w:pPr>
        <w:spacing w:after="100" w:line="259" w:lineRule="auto" w:before="0"/>
        <w:ind w:left="0" w:right="0"/>
      </w:pPr>
      <w:r>
        <w:rPr>
          <w:rFonts w:ascii="Aptos" w:hAnsi="Aptos" w:eastAsia="Aptos"/>
          <w:b w:val="0"/>
          <w:sz w:val="19"/>
        </w:rPr>
        <w:t>1. When the Office considers it necessary for the proper and careful performance of the Services, it may consult other administrative scriveners, attorneys, tax accountants, or other professionals who are subject to confidentiality obligations, and may request advice, opinions, or review of application documents.</w:t>
      </w:r>
    </w:p>
    <w:p>
      <w:pPr>
        <w:spacing w:after="100" w:line="259" w:lineRule="auto" w:before="0"/>
        <w:ind w:left="0" w:right="0"/>
      </w:pPr>
      <w:r>
        <w:rPr>
          <w:rFonts w:ascii="Aptos" w:hAnsi="Aptos" w:eastAsia="Aptos"/>
          <w:b w:val="0"/>
          <w:sz w:val="19"/>
        </w:rPr>
        <w:t>2. For such consultation, advice, or review, the Office may provide the professional, only to the extent necessary, with information or documents obtained from the Client, including name, nationality, date of birth, status of residence, residence-card information, passport information, educational and employment history, employer information, family information, income, tax and social-insurance information, and application documents.</w:t>
      </w:r>
    </w:p>
    <w:p>
      <w:pPr>
        <w:spacing w:after="100" w:line="259" w:lineRule="auto" w:before="0"/>
        <w:ind w:left="0" w:right="0"/>
      </w:pPr>
      <w:r>
        <w:rPr>
          <w:rFonts w:ascii="Aptos" w:hAnsi="Aptos" w:eastAsia="Aptos"/>
          <w:b w:val="0"/>
          <w:sz w:val="19"/>
        </w:rPr>
        <w:t>3. The Office will limit such disclosure to the minimum extent necessary and will require the professional to use the information only for the relevant matter, maintain confidentiality, and implement appropriate safeguards.</w:t>
      </w:r>
    </w:p>
    <w:p>
      <w:pPr>
        <w:spacing w:after="100" w:line="259" w:lineRule="auto" w:before="0"/>
        <w:ind w:left="0" w:right="0"/>
      </w:pPr>
      <w:r>
        <w:rPr>
          <w:rFonts w:ascii="Aptos" w:hAnsi="Aptos" w:eastAsia="Aptos"/>
          <w:b w:val="0"/>
          <w:sz w:val="19"/>
        </w:rPr>
        <w:t>4. A professional providing consultation, advice, or review does not thereby become directly engaged by the Client. Unless the Client separately enters into an engagement with that professional, the Office remains the Client’s service provider for the Services.</w:t>
      </w:r>
    </w:p>
    <w:p>
      <w:pPr>
        <w:spacing w:after="100" w:line="259" w:lineRule="auto" w:before="0"/>
        <w:ind w:left="0" w:right="0"/>
      </w:pPr>
      <w:r>
        <w:rPr>
          <w:rFonts w:ascii="Aptos" w:hAnsi="Aptos" w:eastAsia="Aptos"/>
          <w:b w:val="0"/>
          <w:sz w:val="19"/>
        </w:rPr>
        <w:t>5. By agreeing to these Terms and the application/order form, the Client consents to the provision of information to such professionals within the scope described in this Article.</w:t>
      </w:r>
    </w:p>
    <w:p>
      <w:pPr>
        <w:pStyle w:val="Heading1"/>
        <w:spacing w:before="200" w:after="40" w:line="259" w:lineRule="auto"/>
        <w:ind w:left="0" w:right="0"/>
        <w:jc w:val="left"/>
      </w:pPr>
      <w:r>
        <w:rPr>
          <w:rFonts w:ascii="Noto Sans CJK JP" w:hAnsi="Noto Sans CJK JP" w:eastAsia="Noto Sans CJK JP"/>
          <w:b/>
          <w:sz w:val="25"/>
        </w:rPr>
        <w:t>第8条（反社会的勢力の排除）</w:t>
      </w:r>
    </w:p>
    <w:p>
      <w:pPr>
        <w:spacing w:after="100" w:before="0" w:line="259" w:lineRule="auto"/>
        <w:ind w:left="0" w:right="0"/>
      </w:pPr>
      <w:r>
        <w:rPr>
          <w:rFonts w:ascii="Aptos" w:hAnsi="Aptos" w:eastAsia="Aptos"/>
          <w:b/>
          <w:sz w:val="21"/>
        </w:rPr>
        <w:t>Article 8 (Exclusion of Anti-Social Forces)</w:t>
      </w:r>
    </w:p>
    <w:p>
      <w:pPr>
        <w:spacing w:after="100" w:line="259" w:lineRule="auto" w:before="0"/>
        <w:ind w:left="0" w:right="0"/>
      </w:pPr>
      <w:r>
        <w:rPr>
          <w:rFonts w:ascii="Noto Sans CJK JP" w:hAnsi="Noto Sans CJK JP" w:eastAsia="Noto Sans CJK JP"/>
          <w:b w:val="0"/>
          <w:sz w:val="20"/>
        </w:rPr>
        <w:t>甲および乙は、自らおよびその関係者が暴力団、暴力団員その他の反社会的勢力に該当しないことを表明し保証します。相手方が反社会的勢力に該当することが判明した場合、相手方は何らの催告を要することなく本契約を解除することができます。</w:t>
      </w:r>
    </w:p>
    <w:p>
      <w:pPr>
        <w:spacing w:after="100" w:line="259" w:lineRule="auto" w:before="0"/>
        <w:ind w:left="0" w:right="0"/>
      </w:pPr>
      <w:r>
        <w:rPr>
          <w:rFonts w:ascii="Aptos" w:hAnsi="Aptos" w:eastAsia="Aptos"/>
          <w:b w:val="0"/>
          <w:sz w:val="19"/>
        </w:rPr>
        <w:t>The Client and the Office each represent and warrant that neither they nor their relevant affiliates constitute an organized crime group, member thereof, or other anti-social force. If either party is found to fall within such a category, the other party may terminate the engagement without prior demand or notice to cure.</w:t>
      </w:r>
    </w:p>
    <w:p>
      <w:pPr>
        <w:pStyle w:val="Heading1"/>
        <w:spacing w:before="200" w:after="40" w:line="259" w:lineRule="auto"/>
        <w:ind w:left="0" w:right="0"/>
        <w:jc w:val="left"/>
      </w:pPr>
      <w:r>
        <w:rPr>
          <w:rFonts w:ascii="Noto Sans CJK JP" w:hAnsi="Noto Sans CJK JP" w:eastAsia="Noto Sans CJK JP"/>
          <w:b/>
          <w:sz w:val="25"/>
        </w:rPr>
        <w:t>第9条（電子的方法による通知等）</w:t>
      </w:r>
    </w:p>
    <w:p>
      <w:pPr>
        <w:spacing w:after="100" w:before="0" w:line="259" w:lineRule="auto"/>
        <w:ind w:left="0" w:right="0"/>
      </w:pPr>
      <w:r>
        <w:rPr>
          <w:rFonts w:ascii="Aptos" w:hAnsi="Aptos" w:eastAsia="Aptos"/>
          <w:b/>
          <w:sz w:val="21"/>
        </w:rPr>
        <w:t>Article 9 (Electronic Communications)</w:t>
      </w:r>
    </w:p>
    <w:p>
      <w:pPr>
        <w:spacing w:after="100" w:line="259" w:lineRule="auto" w:before="0"/>
        <w:ind w:left="0" w:right="0"/>
      </w:pPr>
      <w:r>
        <w:rPr>
          <w:rFonts w:ascii="Noto Sans CJK JP" w:hAnsi="Noto Sans CJK JP" w:eastAsia="Noto Sans CJK JP"/>
          <w:b w:val="0"/>
          <w:sz w:val="20"/>
        </w:rPr>
        <w:t>甲および乙は、本契約に関する通知、連絡、資料の送付その他意思表示について、電子メール、LINEその他の電磁的方法により行うことができるものとします。これらの方法により送信された通知等は、通常到達すべき時に到達したものとみなします。</w:t>
      </w:r>
    </w:p>
    <w:p>
      <w:pPr>
        <w:spacing w:after="100" w:line="259" w:lineRule="auto" w:before="0"/>
        <w:ind w:left="0" w:right="0"/>
      </w:pPr>
      <w:r>
        <w:rPr>
          <w:rFonts w:ascii="Aptos" w:hAnsi="Aptos" w:eastAsia="Aptos"/>
          <w:b w:val="0"/>
          <w:sz w:val="19"/>
        </w:rPr>
        <w:t>Notices, communications, document delivery, and other communications relating to this engagement may be made by email, LINE, or other electronic means. Such communications will be deemed received when they would ordinarily have reached the recipient.</w:t>
      </w:r>
    </w:p>
    <w:p>
      <w:pPr>
        <w:pStyle w:val="Heading1"/>
        <w:spacing w:before="200" w:after="40" w:line="259" w:lineRule="auto"/>
        <w:ind w:left="0" w:right="0"/>
        <w:jc w:val="left"/>
      </w:pPr>
      <w:r>
        <w:rPr>
          <w:rFonts w:ascii="Noto Sans CJK JP" w:hAnsi="Noto Sans CJK JP" w:eastAsia="Noto Sans CJK JP"/>
          <w:b/>
          <w:sz w:val="25"/>
        </w:rPr>
        <w:t>第10条（準拠法および合意管轄）</w:t>
      </w:r>
    </w:p>
    <w:p>
      <w:pPr>
        <w:spacing w:after="100" w:before="0" w:line="259" w:lineRule="auto"/>
        <w:ind w:left="0" w:right="0"/>
      </w:pPr>
      <w:r>
        <w:rPr>
          <w:rFonts w:ascii="Aptos" w:hAnsi="Aptos" w:eastAsia="Aptos"/>
          <w:b/>
          <w:sz w:val="21"/>
        </w:rPr>
        <w:t>Article 10 (Governing Law and Jurisdiction)</w:t>
      </w:r>
    </w:p>
    <w:p>
      <w:pPr>
        <w:spacing w:after="100" w:line="259" w:lineRule="auto" w:before="0"/>
        <w:ind w:left="0" w:right="0"/>
      </w:pPr>
      <w:r>
        <w:rPr>
          <w:rFonts w:ascii="Noto Sans CJK JP" w:hAnsi="Noto Sans CJK JP" w:eastAsia="Noto Sans CJK JP"/>
          <w:b w:val="0"/>
          <w:sz w:val="20"/>
        </w:rPr>
        <w:t>1. 本約款は日本国法に準拠し、同法に従って解釈されるものとします。</w:t>
      </w:r>
    </w:p>
    <w:p>
      <w:pPr>
        <w:spacing w:after="100" w:line="259" w:lineRule="auto" w:before="0"/>
        <w:ind w:left="0" w:right="0"/>
      </w:pPr>
      <w:r>
        <w:rPr>
          <w:rFonts w:ascii="Noto Sans CJK JP" w:hAnsi="Noto Sans CJK JP" w:eastAsia="Noto Sans CJK JP"/>
          <w:b w:val="0"/>
          <w:sz w:val="20"/>
        </w:rPr>
        <w:t>2. 本約款または本業務に関して甲乙間に紛争が生じた場合は、乙の事務所所在地を管轄する地方裁判所または簡易裁判所を第一審の合意管轄裁判所とします。</w:t>
      </w:r>
    </w:p>
    <w:p>
      <w:pPr>
        <w:spacing w:after="100" w:line="259" w:lineRule="auto" w:before="0"/>
        <w:ind w:left="0" w:right="0"/>
      </w:pPr>
      <w:r>
        <w:rPr>
          <w:rFonts w:ascii="Aptos" w:hAnsi="Aptos" w:eastAsia="Aptos"/>
          <w:b w:val="0"/>
          <w:sz w:val="19"/>
        </w:rPr>
        <w:t>1. These Terms are governed by and construed in accordance with the laws of Japan.</w:t>
      </w:r>
    </w:p>
    <w:p>
      <w:pPr>
        <w:spacing w:after="100" w:line="259" w:lineRule="auto" w:before="0"/>
        <w:ind w:left="0" w:right="0"/>
      </w:pPr>
      <w:r>
        <w:rPr>
          <w:rFonts w:ascii="Aptos" w:hAnsi="Aptos" w:eastAsia="Aptos"/>
          <w:b w:val="0"/>
          <w:sz w:val="19"/>
        </w:rPr>
        <w:t>2. Any dispute arising from these Terms or the Services shall be submitted at first instance to the district court or summary court having jurisdiction over the location of the Office.</w:t>
      </w:r>
    </w:p>
    <w:p>
      <w:pPr>
        <w:pStyle w:val="Heading1"/>
        <w:spacing w:before="200" w:after="40" w:line="259" w:lineRule="auto"/>
        <w:ind w:left="0" w:right="0"/>
        <w:jc w:val="left"/>
      </w:pPr>
      <w:r>
        <w:rPr>
          <w:rFonts w:ascii="Noto Sans CJK JP" w:hAnsi="Noto Sans CJK JP" w:eastAsia="Noto Sans CJK JP"/>
          <w:b/>
          <w:sz w:val="25"/>
        </w:rPr>
        <w:t>第11条（言語優先）</w:t>
      </w:r>
    </w:p>
    <w:p>
      <w:pPr>
        <w:spacing w:after="100" w:before="0" w:line="259" w:lineRule="auto"/>
        <w:ind w:left="0" w:right="0"/>
      </w:pPr>
      <w:r>
        <w:rPr>
          <w:rFonts w:ascii="Aptos" w:hAnsi="Aptos" w:eastAsia="Aptos"/>
          <w:b/>
          <w:sz w:val="21"/>
        </w:rPr>
        <w:t>Article 11 (Controlling Language)</w:t>
      </w:r>
    </w:p>
    <w:p>
      <w:pPr>
        <w:spacing w:after="100" w:line="259" w:lineRule="auto" w:before="0"/>
        <w:ind w:left="0" w:right="0"/>
      </w:pPr>
      <w:r>
        <w:rPr>
          <w:rFonts w:ascii="Noto Sans CJK JP" w:hAnsi="Noto Sans CJK JP" w:eastAsia="Noto Sans CJK JP"/>
          <w:b w:val="0"/>
          <w:sz w:val="20"/>
        </w:rPr>
        <w:t>本約款および申込書その他本業務に関する契約書類は、日本語を正文とします。甲の理解のため他の言語による翻訳を作成した場合であっても、日本語版と翻訳版との間に相違または疑義があるときは、日本語版を優先します。</w:t>
      </w:r>
    </w:p>
    <w:p>
      <w:pPr>
        <w:spacing w:after="100" w:line="259" w:lineRule="auto" w:before="0"/>
        <w:ind w:left="0" w:right="0"/>
      </w:pPr>
      <w:r>
        <w:rPr>
          <w:rFonts w:ascii="Aptos" w:hAnsi="Aptos" w:eastAsia="Aptos"/>
          <w:b w:val="0"/>
          <w:sz w:val="19"/>
        </w:rPr>
        <w:t>The Japanese-language version of these Terms, the application/order form, and other engagement documents is the controlling version. Any translation is provided for the Client’s convenience, and if there is any discrepancy or ambiguity, the Japanese version prevails.</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b w:val="0"/>
        <w:sz w:val="16"/>
      </w:rPr>
      <w:t>トラスト清水行政書士事務所 / Trust Shimizu Administrative Scrivener Office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pageBreakBefore w:val="0"/>
    </w:pPr>
    <w:rPr>
      <w:rFonts w:ascii="Noto Sans CJK JP" w:hAnsi="Noto Sans CJK JP" w:eastAsia="Noto Sans CJK JP"/>
      <w:b w:val="0"/>
      <w:sz w:val="21"/>
    </w:rPr>
  </w:style>
  <w:style w:type="paragraph" w:styleId="Header">
    <w:name w:val="header"/>
    <w:basedOn w:val="Normal"/>
    <w:link w:val="HeaderChar"/>
    <w:uiPriority w:val="99"/>
    <w:unhideWhenUsed/>
    <w:rsid w:val="00E618BF"/>
    <w:pPr>
      <w:keepNext w:val="0"/>
      <w:keepLines w:val="0"/>
      <w:pageBreakBefore w:val="0"/>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keepNext w:val="0"/>
      <w:keepLines w:val="0"/>
      <w:pageBreakBefore w:val="0"/>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val="0"/>
      <w:keepLines w:val="0"/>
      <w:pageBreakBefore w:val="0"/>
      <w:spacing w:before="480" w:after="0"/>
      <w:outlineLvl w:val="0"/>
    </w:pPr>
    <w:rPr>
      <w:rFonts w:asciiTheme="majorHAnsi" w:eastAsiaTheme="majorEastAsia" w:hAnsiTheme="majorHAnsi" w:cstheme="majorBidi" w:ascii="Noto Sans CJK JP" w:hAnsi="Noto Sans CJK JP" w:eastAsia="Noto Sans CJK JP"/>
      <w:b/>
      <w:bCs/>
      <w:color w:val="365F91" w:themeColor="accent1" w:themeShade="BF"/>
      <w:sz w:val="25"/>
      <w:szCs w:val="28"/>
    </w:rPr>
  </w:style>
  <w:style w:type="paragraph" w:styleId="Heading2">
    <w:name w:val="heading 2"/>
    <w:basedOn w:val="Normal"/>
    <w:next w:val="Normal"/>
    <w:link w:val="Heading2Char"/>
    <w:uiPriority w:val="9"/>
    <w:unhideWhenUsed/>
    <w:qFormat/>
    <w:rsid w:val="00FC693F"/>
    <w:pPr>
      <w:keepNext w:val="0"/>
      <w:keepLines w:val="0"/>
      <w:pageBreakBefore w:val="0"/>
      <w:spacing w:before="200" w:after="0"/>
      <w:outlineLvl w:val="1"/>
    </w:pPr>
    <w:rPr>
      <w:rFonts w:asciiTheme="majorHAnsi" w:eastAsiaTheme="majorEastAsia" w:hAnsiTheme="majorHAnsi" w:cstheme="majorBidi" w:ascii="Noto Sans CJK JP" w:hAnsi="Noto Sans CJK JP" w:eastAsia="Noto Sans CJK JP"/>
      <w:b/>
      <w:bCs/>
      <w:color w:val="4F81BD" w:themeColor="accent1"/>
      <w:sz w:val="23"/>
      <w:szCs w:val="26"/>
    </w:rPr>
  </w:style>
  <w:style w:type="paragraph" w:styleId="Heading3">
    <w:name w:val="heading 3"/>
    <w:basedOn w:val="Normal"/>
    <w:next w:val="Normal"/>
    <w:link w:val="Heading3Char"/>
    <w:uiPriority w:val="9"/>
    <w:unhideWhenUsed/>
    <w:qFormat/>
    <w:rsid w:val="00FC693F"/>
    <w:pPr>
      <w:keepNext w:val="0"/>
      <w:keepLines w:val="0"/>
      <w:pageBreakBefore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val="0"/>
      <w:keepLines w:val="0"/>
      <w:pageBreakBefore w:val="0"/>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val="0"/>
      <w:keepLines w:val="0"/>
      <w:pageBreakBefore w:val="0"/>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val="0"/>
      <w:keepLines w:val="0"/>
      <w:pageBreakBefore w:val="0"/>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val="0"/>
      <w:keepLines w:val="0"/>
      <w:pageBreakBefore w:val="0"/>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val="0"/>
      <w:keepLines w:val="0"/>
      <w:pageBreakBefore w:val="0"/>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val="0"/>
      <w:keepLines w:val="0"/>
      <w:pageBreakBefore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pPr>
      <w:keepNext w:val="0"/>
      <w:keepLines w:val="0"/>
      <w:pageBreakBefore w:val="0"/>
    </w:p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keepNext w:val="0"/>
      <w:keepLines w:val="0"/>
      <w:pageBreakBefore w:val="0"/>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keepLines w:val="0"/>
      <w:pageBreakBefore w:val="0"/>
      <w:pBdr>
        <w:bottom w:val="single" w:sz="8" w:space="4" w:color="4F81BD" w:themeColor="accent1"/>
      </w:pBdr>
      <w:spacing w:after="300" w:line="240" w:lineRule="auto"/>
      <w:contextualSpacing/>
    </w:pPr>
    <w:rPr>
      <w:rFonts w:asciiTheme="majorHAnsi" w:eastAsiaTheme="majorEastAsia" w:hAnsiTheme="majorHAnsi" w:cstheme="majorBidi" w:ascii="Noto Sans CJK JP" w:hAnsi="Noto Sans CJK JP" w:eastAsia="Noto Sans CJK JP"/>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keepLines w:val="0"/>
      <w:pageBreakBefore w:val="0"/>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keepLines w:val="0"/>
      <w:pageBreakBefore w:val="0"/>
      <w:ind w:left="720"/>
      <w:contextualSpacing/>
    </w:pPr>
  </w:style>
  <w:style w:type="paragraph" w:styleId="BodyText">
    <w:name w:val="Body Text"/>
    <w:basedOn w:val="Normal"/>
    <w:link w:val="BodyTextChar"/>
    <w:uiPriority w:val="99"/>
    <w:unhideWhenUsed/>
    <w:rsid w:val="00AA1D8D"/>
    <w:pPr>
      <w:keepNext w:val="0"/>
      <w:keepLines w:val="0"/>
      <w:pageBreakBefore w:val="0"/>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keepNext w:val="0"/>
      <w:keepLines w:val="0"/>
      <w:pageBreakBefore w:val="0"/>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keepNext w:val="0"/>
      <w:keepLines w:val="0"/>
      <w:pageBreakBefore w:val="0"/>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keepNext w:val="0"/>
      <w:keepLines w:val="0"/>
      <w:pageBreakBefore w:val="0"/>
      <w:ind w:left="360" w:hanging="360"/>
      <w:contextualSpacing/>
    </w:pPr>
  </w:style>
  <w:style w:type="paragraph" w:styleId="List2">
    <w:name w:val="List 2"/>
    <w:basedOn w:val="Normal"/>
    <w:uiPriority w:val="99"/>
    <w:unhideWhenUsed/>
    <w:rsid w:val="00326F90"/>
    <w:pPr>
      <w:keepNext w:val="0"/>
      <w:keepLines w:val="0"/>
      <w:pageBreakBefore w:val="0"/>
      <w:ind w:left="720" w:hanging="360"/>
      <w:contextualSpacing/>
    </w:pPr>
  </w:style>
  <w:style w:type="paragraph" w:styleId="List3">
    <w:name w:val="List 3"/>
    <w:basedOn w:val="Normal"/>
    <w:uiPriority w:val="99"/>
    <w:unhideWhenUsed/>
    <w:rsid w:val="00326F90"/>
    <w:pPr>
      <w:keepNext w:val="0"/>
      <w:keepLines w:val="0"/>
      <w:pageBreakBefore w:val="0"/>
      <w:ind w:left="1080" w:hanging="360"/>
      <w:contextualSpacing/>
    </w:pPr>
  </w:style>
  <w:style w:type="paragraph" w:styleId="ListBullet">
    <w:name w:val="List Bullet"/>
    <w:basedOn w:val="Normal"/>
    <w:uiPriority w:val="99"/>
    <w:unhideWhenUsed/>
    <w:rsid w:val="00326F90"/>
    <w:pPr>
      <w:keepNext w:val="0"/>
      <w:keepLines w:val="0"/>
      <w:pageBreakBefore w:val="0"/>
      <w:numPr>
        <w:numId w:val="1"/>
      </w:numPr>
      <w:contextualSpacing/>
    </w:pPr>
  </w:style>
  <w:style w:type="paragraph" w:styleId="ListBullet2">
    <w:name w:val="List Bullet 2"/>
    <w:basedOn w:val="Normal"/>
    <w:uiPriority w:val="99"/>
    <w:unhideWhenUsed/>
    <w:rsid w:val="00326F90"/>
    <w:pPr>
      <w:keepNext w:val="0"/>
      <w:keepLines w:val="0"/>
      <w:pageBreakBefore w:val="0"/>
      <w:numPr>
        <w:numId w:val="2"/>
      </w:numPr>
      <w:contextualSpacing/>
    </w:pPr>
  </w:style>
  <w:style w:type="paragraph" w:styleId="ListBullet3">
    <w:name w:val="List Bullet 3"/>
    <w:basedOn w:val="Normal"/>
    <w:uiPriority w:val="99"/>
    <w:unhideWhenUsed/>
    <w:rsid w:val="00326F90"/>
    <w:pPr>
      <w:keepNext w:val="0"/>
      <w:keepLines w:val="0"/>
      <w:pageBreakBefore w:val="0"/>
      <w:numPr>
        <w:numId w:val="3"/>
      </w:numPr>
      <w:contextualSpacing/>
    </w:pPr>
  </w:style>
  <w:style w:type="paragraph" w:styleId="ListNumber">
    <w:name w:val="List Number"/>
    <w:basedOn w:val="Normal"/>
    <w:uiPriority w:val="99"/>
    <w:unhideWhenUsed/>
    <w:rsid w:val="00326F90"/>
    <w:pPr>
      <w:keepNext w:val="0"/>
      <w:keepLines w:val="0"/>
      <w:pageBreakBefore w:val="0"/>
      <w:numPr>
        <w:numId w:val="5"/>
      </w:numPr>
      <w:contextualSpacing/>
    </w:pPr>
  </w:style>
  <w:style w:type="paragraph" w:styleId="ListNumber2">
    <w:name w:val="List Number 2"/>
    <w:basedOn w:val="Normal"/>
    <w:uiPriority w:val="99"/>
    <w:unhideWhenUsed/>
    <w:rsid w:val="0029639D"/>
    <w:pPr>
      <w:keepNext w:val="0"/>
      <w:keepLines w:val="0"/>
      <w:pageBreakBefore w:val="0"/>
      <w:numPr>
        <w:numId w:val="6"/>
      </w:numPr>
      <w:contextualSpacing/>
    </w:pPr>
  </w:style>
  <w:style w:type="paragraph" w:styleId="ListNumber3">
    <w:name w:val="List Number 3"/>
    <w:basedOn w:val="Normal"/>
    <w:uiPriority w:val="99"/>
    <w:unhideWhenUsed/>
    <w:rsid w:val="0029639D"/>
    <w:pPr>
      <w:keepNext w:val="0"/>
      <w:keepLines w:val="0"/>
      <w:pageBreakBefore w:val="0"/>
      <w:numPr>
        <w:numId w:val="7"/>
      </w:numPr>
      <w:contextualSpacing/>
    </w:pPr>
  </w:style>
  <w:style w:type="paragraph" w:styleId="ListContinue">
    <w:name w:val="List Continue"/>
    <w:basedOn w:val="Normal"/>
    <w:uiPriority w:val="99"/>
    <w:unhideWhenUsed/>
    <w:rsid w:val="0029639D"/>
    <w:pPr>
      <w:keepNext w:val="0"/>
      <w:keepLines w:val="0"/>
      <w:pageBreakBefore w:val="0"/>
      <w:spacing w:after="120"/>
      <w:ind w:left="360"/>
      <w:contextualSpacing/>
    </w:pPr>
  </w:style>
  <w:style w:type="paragraph" w:styleId="ListContinue2">
    <w:name w:val="List Continue 2"/>
    <w:basedOn w:val="Normal"/>
    <w:uiPriority w:val="99"/>
    <w:unhideWhenUsed/>
    <w:rsid w:val="0029639D"/>
    <w:pPr>
      <w:keepNext w:val="0"/>
      <w:keepLines w:val="0"/>
      <w:pageBreakBefore w:val="0"/>
      <w:spacing w:after="120"/>
      <w:ind w:left="720"/>
      <w:contextualSpacing/>
    </w:pPr>
  </w:style>
  <w:style w:type="paragraph" w:styleId="ListContinue3">
    <w:name w:val="List Continue 3"/>
    <w:basedOn w:val="Normal"/>
    <w:uiPriority w:val="99"/>
    <w:unhideWhenUsed/>
    <w:rsid w:val="0029639D"/>
    <w:pPr>
      <w:keepNext w:val="0"/>
      <w:keepLines w:val="0"/>
      <w:pageBreakBefore w:val="0"/>
      <w:spacing w:after="120"/>
      <w:ind w:left="1080"/>
      <w:contextualSpacing/>
    </w:pPr>
  </w:style>
  <w:style w:type="paragraph" w:styleId="MacroText">
    <w:name w:val="macro"/>
    <w:link w:val="MacroTextChar"/>
    <w:uiPriority w:val="99"/>
    <w:unhideWhenUsed/>
    <w:rsid w:val="0029639D"/>
    <w:pPr>
      <w:keepNext w:val="0"/>
      <w:keepLines w:val="0"/>
      <w:pageBreakBefore w:val="0"/>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keepLines w:val="0"/>
      <w:pageBreakBefore w:val="0"/>
    </w:pPr>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keepLines w:val="0"/>
      <w:pageBreakBefore w:val="0"/>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keepNext w:val="0"/>
      <w:keepLines w:val="0"/>
      <w:pageBreakBefore w:val="0"/>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val="0"/>
      <w:keepLines w:val="0"/>
      <w:pageBreakBefore w:val="0"/>
      <w:outlineLvl w:val="9"/>
    </w:pPr>
  </w:style>
  <w:style w:type="table" w:styleId="TableGrid">
    <w:name w:val="Table Grid"/>
    <w:basedOn w:val="TableNormal"/>
    <w:uiPriority w:val="59"/>
    <w:rsid w:val="00FC693F"/>
    <w:pPr>
      <w:keepNext w:val="0"/>
      <w:keepLines w:val="0"/>
      <w:pageBreakBefore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keepNext w:val="0"/>
      <w:keepLines w:val="0"/>
      <w:pageBreakBefore w:val="0"/>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keepNext w:val="0"/>
      <w:keepLines w:val="0"/>
      <w:pageBreakBefore w:val="0"/>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keepNext w:val="0"/>
      <w:keepLines w:val="0"/>
      <w:pageBreakBefore w:val="0"/>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keepNext w:val="0"/>
      <w:keepLines w:val="0"/>
      <w:pageBreakBefore w:val="0"/>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keepNext w:val="0"/>
      <w:keepLines w:val="0"/>
      <w:pageBreakBefore w:val="0"/>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keepNext w:val="0"/>
      <w:keepLines w:val="0"/>
      <w:pageBreakBefore w:val="0"/>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keepNext w:val="0"/>
      <w:keepLines w:val="0"/>
      <w:pageBreakBefore w:val="0"/>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keepNext w:val="0"/>
      <w:keepLines w:val="0"/>
      <w:pageBreakBefore w:val="0"/>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keepNext w:val="0"/>
      <w:keepLines w:val="0"/>
      <w:pageBreakBefore w:val="0"/>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keepNext w:val="0"/>
      <w:keepLines w:val="0"/>
      <w:pageBreakBefore w:val="0"/>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keepNext w:val="0"/>
      <w:keepLines w:val="0"/>
      <w:pageBreakBefore w:val="0"/>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keepNext w:val="0"/>
      <w:keepLines w:val="0"/>
      <w:pageBreakBefore w:val="0"/>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keepNext w:val="0"/>
      <w:keepLines w:val="0"/>
      <w:pageBreakBefore w:val="0"/>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keepNext w:val="0"/>
      <w:keepLines w:val="0"/>
      <w:pageBreakBefore w:val="0"/>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keepNext w:val="0"/>
      <w:keepLines w:val="0"/>
      <w:pageBreakBefore w:val="0"/>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keepNext w:val="0"/>
      <w:keepLines w:val="0"/>
      <w:pageBreakBefore w:val="0"/>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keepNext w:val="0"/>
      <w:keepLines w:val="0"/>
      <w:pageBreakBefore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keepNext w:val="0"/>
      <w:keepLines w:val="0"/>
      <w:pageBreakBefore w:val="0"/>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keepNext w:val="0"/>
      <w:keepLines w:val="0"/>
      <w:pageBreakBefore w:val="0"/>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keepNext w:val="0"/>
      <w:keepLines w:val="0"/>
      <w:pageBreakBefore w:val="0"/>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keepNext w:val="0"/>
      <w:keepLines w:val="0"/>
      <w:pageBreakBefore w:val="0"/>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keepNext w:val="0"/>
      <w:keepLines w:val="0"/>
      <w:pageBreakBefore w:val="0"/>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keepNext w:val="0"/>
      <w:keepLines w:val="0"/>
      <w:pageBreakBefore w:val="0"/>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keepNext w:val="0"/>
      <w:keepLines w:val="0"/>
      <w:pageBreakBefore w:val="0"/>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